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1. </w:t>
      </w:r>
      <w:r w:rsidRPr="00845345">
        <w:rPr>
          <w:rFonts w:ascii="Times New Roman" w:hAnsi="Times New Roman" w:cs="Times New Roman"/>
          <w:b/>
        </w:rPr>
        <w:t>Да или нет. Ответы впишите в таблицу. (Всего 5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1.1. Понятие “невидимая рука” связано с экономикой;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1.2. Сбережения -это часть дохода, которая не идет на потребление;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1.3. Налоги выделяют по способу изъятия на прямые, косвенные и второстепенные;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1.4. Личностью можно назвать мальчика </w:t>
      </w:r>
      <w:proofErr w:type="spellStart"/>
      <w:r w:rsidRPr="00845345">
        <w:rPr>
          <w:rFonts w:ascii="Times New Roman" w:hAnsi="Times New Roman" w:cs="Times New Roman"/>
        </w:rPr>
        <w:t>Маугли</w:t>
      </w:r>
      <w:proofErr w:type="spellEnd"/>
      <w:r w:rsidRPr="00845345">
        <w:rPr>
          <w:rFonts w:ascii="Times New Roman" w:hAnsi="Times New Roman" w:cs="Times New Roman"/>
        </w:rPr>
        <w:t>, который всю жизнь рос в джунглях и не имел контакта с обществом людей;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1.5. Права и свободы любого гражданина может огранить Президент РФ своим указом.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1.5</w:t>
            </w:r>
          </w:p>
        </w:tc>
      </w:tr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</w:tr>
    </w:tbl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2. </w:t>
      </w:r>
      <w:r w:rsidR="00444DA5">
        <w:rPr>
          <w:rFonts w:ascii="Times New Roman" w:hAnsi="Times New Roman" w:cs="Times New Roman"/>
          <w:b/>
        </w:rPr>
        <w:t>Выбери</w:t>
      </w:r>
      <w:r w:rsidRPr="00845345">
        <w:rPr>
          <w:rFonts w:ascii="Times New Roman" w:hAnsi="Times New Roman" w:cs="Times New Roman"/>
          <w:b/>
        </w:rPr>
        <w:t>те один правильный вариант ответа: (Всего 10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2.1. Что из перечисленного лучше всего характеризует понятие «</w:t>
      </w:r>
      <w:proofErr w:type="spellStart"/>
      <w:r w:rsidRPr="00845345">
        <w:rPr>
          <w:rFonts w:ascii="Times New Roman" w:hAnsi="Times New Roman" w:cs="Times New Roman"/>
        </w:rPr>
        <w:t>референтная</w:t>
      </w:r>
      <w:proofErr w:type="spellEnd"/>
      <w:r w:rsidRPr="00845345">
        <w:rPr>
          <w:rFonts w:ascii="Times New Roman" w:hAnsi="Times New Roman" w:cs="Times New Roman"/>
        </w:rPr>
        <w:t xml:space="preserve"> группа»?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Группа, в которой человек родился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Группа, нормы которой человек отвергает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Группа, на образцы которой человек ориентируется при оценке своего поведения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Группа, с которой человек никогда не взаимодействует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</w:t>
      </w:r>
      <w:r w:rsidR="00444DA5">
        <w:rPr>
          <w:rFonts w:ascii="Times New Roman" w:hAnsi="Times New Roman" w:cs="Times New Roman"/>
        </w:rPr>
        <w:t xml:space="preserve"> </w:t>
      </w:r>
      <w:r w:rsidR="00444DA5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="008019B2" w:rsidRPr="00845345">
        <w:rPr>
          <w:rFonts w:ascii="Times New Roman" w:hAnsi="Times New Roman" w:cs="Times New Roman"/>
        </w:rPr>
        <w:t xml:space="preserve">Какой термин описывает ситуацию, когда ожидания ролей одного статуса противоречат ожиданиям ролей другого статуса у одного человека?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Ролевой конфликт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Ролевое исполнение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Ролевое согласие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Ролевой набор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2.3. </w:t>
      </w:r>
      <w:r w:rsidR="00B46120" w:rsidRPr="00845345">
        <w:rPr>
          <w:rFonts w:ascii="Times New Roman" w:hAnsi="Times New Roman" w:cs="Times New Roman"/>
        </w:rPr>
        <w:t xml:space="preserve">Что такое «социальная стратификация»?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Процесс образования формальных групп в школе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Деление общества на слои по доступу к ресурсам и привилегиям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Временное объединение людей по интересам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Исключительно правовая иерархия</w:t>
      </w:r>
      <w:r w:rsidR="008019B2" w:rsidRPr="00845345">
        <w:rPr>
          <w:rFonts w:ascii="Times New Roman" w:eastAsia="Aptos" w:hAnsi="Times New Roman" w:cs="Times New Roman"/>
        </w:rPr>
        <w:t>.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>Ответ: Б</w:t>
      </w:r>
      <w:r w:rsidR="008019B2" w:rsidRPr="00845345">
        <w:rPr>
          <w:rFonts w:ascii="Times New Roman" w:eastAsia="Aptos" w:hAnsi="Times New Roman" w:cs="Times New Roman"/>
        </w:rPr>
        <w:t xml:space="preserve">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2.4. </w:t>
      </w:r>
      <w:r w:rsidR="00B46120" w:rsidRPr="00845345">
        <w:rPr>
          <w:rFonts w:ascii="Times New Roman" w:hAnsi="Times New Roman" w:cs="Times New Roman"/>
        </w:rPr>
        <w:t xml:space="preserve">Какой из факторов чаще всего относится к предписанному статусу?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Профессия, полученная в результате обучения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Социальное происхождение и пол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Квалификация, полученная на работе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Временная должность по контракту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2.5.</w:t>
      </w:r>
      <w:r w:rsidR="00444DA5">
        <w:rPr>
          <w:rFonts w:ascii="Times New Roman" w:hAnsi="Times New Roman" w:cs="Times New Roman"/>
        </w:rPr>
        <w:t xml:space="preserve"> </w:t>
      </w:r>
      <w:r w:rsidR="00B46120" w:rsidRPr="00845345">
        <w:rPr>
          <w:rFonts w:ascii="Times New Roman" w:hAnsi="Times New Roman" w:cs="Times New Roman"/>
        </w:rPr>
        <w:t xml:space="preserve">Что означает понятие «формальная социальная норма»?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Неофициальные обычаи внутри семьи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Писанный закон или правило, подкреплённое санкциями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Личные предпочтения индивида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Эмоциональная реакция группы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2.6. </w:t>
      </w:r>
      <w:r w:rsidR="00B46120" w:rsidRPr="00845345">
        <w:rPr>
          <w:rFonts w:ascii="Times New Roman" w:hAnsi="Times New Roman" w:cs="Times New Roman"/>
        </w:rPr>
        <w:t xml:space="preserve">Какая из перечисленных характеристик характерна для вторичной социализации?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Освоение базовых моральных установок в младенчестве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Усвоение профессиональных ролей в течение жизни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Первичное усвоение языка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Только обучение в семье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2.7. </w:t>
      </w:r>
      <w:r w:rsidR="00B46120" w:rsidRPr="00845345">
        <w:rPr>
          <w:rFonts w:ascii="Times New Roman" w:hAnsi="Times New Roman" w:cs="Times New Roman"/>
        </w:rPr>
        <w:t xml:space="preserve">Что из нижеперечисленного является примером позитивной неформальной санкции?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Штраф за нарушение правил дорожного движения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Похвала в классе и поощрение от сверстников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Увольнение с работы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Судебный приговор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</w:t>
      </w:r>
      <w:r w:rsidR="00B46120" w:rsidRPr="00845345">
        <w:rPr>
          <w:rFonts w:ascii="Times New Roman" w:hAnsi="Times New Roman" w:cs="Times New Roman"/>
        </w:rPr>
        <w:t xml:space="preserve"> </w:t>
      </w:r>
      <w:r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2.8. </w:t>
      </w:r>
      <w:r w:rsidR="00B46120" w:rsidRPr="00845345">
        <w:rPr>
          <w:rFonts w:ascii="Times New Roman" w:hAnsi="Times New Roman" w:cs="Times New Roman"/>
        </w:rPr>
        <w:t>Какая из перечисленных организаций является примером формального механизма социального контроля?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Семья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Полиция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Группа сверстников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Общественное мнение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2.9. </w:t>
      </w:r>
      <w:r w:rsidR="00B46120" w:rsidRPr="00845345">
        <w:rPr>
          <w:rFonts w:ascii="Times New Roman" w:hAnsi="Times New Roman" w:cs="Times New Roman"/>
        </w:rPr>
        <w:t xml:space="preserve">Что такое «социальный институт»?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Устойчивая система социальных норм и ролей, управляющая важной сферой жизни (семья, школа, право)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Набор случайных личных связей между людьми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Любая коммерческая организация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Отдельный человек, выполняющий общественную функцию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2.10. </w:t>
      </w:r>
      <w:r w:rsidR="00B46120" w:rsidRPr="00845345">
        <w:rPr>
          <w:rFonts w:ascii="Times New Roman" w:hAnsi="Times New Roman" w:cs="Times New Roman"/>
        </w:rPr>
        <w:t xml:space="preserve">Какой фактор наиболее способствует формированию и распространению массовых социальных установок и общественного мнения?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Индивидуальные дневниковые записи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Случайные шумы в природе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Средства массовой коммуникации и лидеры мнений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Технические приборы без человеческого участия</w:t>
      </w:r>
      <w:r w:rsidR="008019B2" w:rsidRPr="00845345">
        <w:rPr>
          <w:rFonts w:ascii="Times New Roman" w:hAnsi="Times New Roman" w:cs="Times New Roman"/>
        </w:rPr>
        <w:t>.</w:t>
      </w:r>
    </w:p>
    <w:p w:rsid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В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Style w:val="a6"/>
          <w:rFonts w:ascii="Times New Roman" w:hAnsi="Times New Roman" w:cs="Times New Roman"/>
          <w:b/>
        </w:rPr>
      </w:pPr>
      <w:r w:rsidRPr="00845345">
        <w:rPr>
          <w:rStyle w:val="a6"/>
          <w:rFonts w:ascii="Times New Roman" w:hAnsi="Times New Roman" w:cs="Times New Roman"/>
          <w:b/>
        </w:rPr>
        <w:t xml:space="preserve">3. Решите экономическую задачу. (Максимальный балл за блок - </w:t>
      </w:r>
      <w:r w:rsidRPr="00845345">
        <w:rPr>
          <w:rStyle w:val="a6"/>
          <w:rFonts w:cs="Times New Roman"/>
          <w:b/>
        </w:rPr>
        <w:t>7</w:t>
      </w:r>
      <w:r w:rsidRPr="00845345">
        <w:rPr>
          <w:rStyle w:val="a6"/>
          <w:rFonts w:ascii="Times New Roman" w:hAnsi="Times New Roman" w:cs="Times New Roman"/>
          <w:b/>
        </w:rPr>
        <w:t>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Style w:val="Hyperlink0"/>
          <w:rFonts w:ascii="Times New Roman" w:hAnsi="Times New Roman" w:cs="Times New Roman"/>
        </w:rPr>
      </w:pP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В таблице приведена информация о производстве телефонов и компьютеров в странах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L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 и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M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>.</w:t>
      </w:r>
    </w:p>
    <w:tbl>
      <w:tblPr>
        <w:tblStyle w:val="TableNormal"/>
        <w:tblW w:w="9630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845345" w:rsidRPr="00845345" w:rsidTr="007501D1">
        <w:trPr>
          <w:trHeight w:val="6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spacing w:line="240" w:lineRule="auto"/>
              <w:contextualSpacing/>
              <w:jc w:val="both"/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телефонов на единицу затрат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компьютеров на единицу затрат</w:t>
            </w:r>
          </w:p>
        </w:tc>
      </w:tr>
      <w:tr w:rsidR="00845345" w:rsidRPr="00845345" w:rsidTr="007501D1">
        <w:trPr>
          <w:trHeight w:val="295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L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800</w:t>
            </w:r>
          </w:p>
        </w:tc>
      </w:tr>
      <w:tr w:rsidR="00845345" w:rsidRPr="00845345" w:rsidTr="007501D1">
        <w:trPr>
          <w:trHeight w:val="300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M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400</w:t>
            </w:r>
          </w:p>
        </w:tc>
      </w:tr>
    </w:tbl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1.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Определите, какая страна имеет абсолютное преимущество в производстве компьютеров, а какая в производстве телефонов.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2.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Какая страна будет иметь сравнительное преимущество в производстве компьютеров, а какая в производстве телефонов? Приведите все необходимые вычисления.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Ответ:</w:t>
      </w:r>
      <w:r w:rsidRPr="00845345"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1. 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 имеет абсолютное преимущество и в производстве телефонов, и в производстве компьютеров, так как она производит наибольшее количество телефонов и компьютеров по сравнению со страной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color w:val="auto"/>
          <w:shd w:val="clear" w:color="auto" w:fill="FFFFFF"/>
        </w:rPr>
        <w:t>(</w:t>
      </w:r>
      <w:r w:rsidR="00280B30" w:rsidRPr="00845345">
        <w:rPr>
          <w:rStyle w:val="a6"/>
          <w:rFonts w:cs="Times New Roman"/>
          <w:color w:val="auto"/>
          <w:shd w:val="clear" w:color="auto" w:fill="FFFFFF"/>
        </w:rPr>
        <w:t>1 балл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2.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компьютер) = 2000/800 = 2,5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800/2000 = 0,4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lastRenderedPageBreak/>
        <w:t xml:space="preserve">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компьютер) = 500/400 = 1,25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400/500 = 0,8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1,25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2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,5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компьютеров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0,4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0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,8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4. Решите логические задачи. (М</w:t>
      </w:r>
      <w:r w:rsidR="00423548">
        <w:rPr>
          <w:rStyle w:val="a6"/>
          <w:rFonts w:cs="Times New Roman"/>
          <w:color w:val="auto"/>
          <w:shd w:val="clear" w:color="auto" w:fill="FFFFFF"/>
        </w:rPr>
        <w:t>аксимальный балл за задание - 4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4.1. Кто-то перемешал посылки и заключение правильного силлогизма. Помогите восстановить его: </w:t>
      </w:r>
      <w:proofErr w:type="spellStart"/>
      <w:r w:rsidRPr="00845345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Pr="00845345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A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B</w:t>
      </w:r>
      <w:r w:rsidRPr="00845345">
        <w:rPr>
          <w:rStyle w:val="a6"/>
          <w:rFonts w:cs="Times New Roman"/>
          <w:color w:val="auto"/>
          <w:shd w:val="clear" w:color="auto" w:fill="FFFFFF"/>
        </w:rPr>
        <w:t>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C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845345" w:rsidRPr="00280B30" w:rsidRDefault="00423548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Roman" w:cs="Times New Roman"/>
          <w:color w:val="auto"/>
          <w:shd w:val="clear" w:color="auto" w:fill="FFFFFF"/>
        </w:rPr>
      </w:pPr>
      <w:r>
        <w:rPr>
          <w:rStyle w:val="a6"/>
          <w:rFonts w:cs="Times New Roman"/>
          <w:b w:val="0"/>
          <w:color w:val="auto"/>
          <w:shd w:val="clear" w:color="auto" w:fill="FFFFFF"/>
        </w:rPr>
        <w:t xml:space="preserve">Ответ: С </w:t>
      </w:r>
      <w:r w:rsidRPr="00280B30">
        <w:rPr>
          <w:rStyle w:val="a6"/>
          <w:rFonts w:cs="Times New Roman"/>
          <w:color w:val="auto"/>
          <w:shd w:val="clear" w:color="auto" w:fill="FFFFFF"/>
        </w:rPr>
        <w:t>(2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 xml:space="preserve"> балл</w:t>
      </w:r>
      <w:r w:rsidRPr="00280B30">
        <w:rPr>
          <w:rStyle w:val="a6"/>
          <w:rFonts w:cs="Times New Roman"/>
          <w:color w:val="auto"/>
          <w:shd w:val="clear" w:color="auto" w:fill="FFFFFF"/>
        </w:rPr>
        <w:t>а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280B30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4.2.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 перестал возражать против предложения по прекращению уклонения от отказа включить в образовательную программу изучение китайского языка.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Означает ли это, что он за включение китайского языка в образовательную программу? Ответ обоснуйте.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Ответ: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Нет, не означает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(5 отрицаний). Министр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перестал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возражать против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предложения по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прекращению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уклонения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от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отказа</w:t>
      </w:r>
      <w:r w:rsidRPr="00845345">
        <w:rPr>
          <w:rStyle w:val="a6"/>
          <w:rFonts w:cs="Times New Roman"/>
          <w:b w:val="0"/>
          <w:bCs w:val="0"/>
          <w:color w:val="auto"/>
          <w:u w:val="single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включить в образовательную программу изучение китайского языка. Согласно закону двойного отрицания, если в утверждении нечётное количество отрицаний, то оно считается отрицательным </w:t>
      </w:r>
      <w:r>
        <w:rPr>
          <w:rStyle w:val="a6"/>
          <w:rFonts w:cs="Times New Roman"/>
          <w:color w:val="auto"/>
          <w:shd w:val="clear" w:color="auto" w:fill="FFFFFF"/>
        </w:rPr>
        <w:t>(</w:t>
      </w:r>
      <w:r w:rsidR="00423548">
        <w:rPr>
          <w:rStyle w:val="a6"/>
          <w:rFonts w:cs="Times New Roman"/>
          <w:color w:val="auto"/>
          <w:shd w:val="clear" w:color="auto" w:fill="FFFFFF"/>
        </w:rPr>
        <w:t>1 балл за обоснование</w:t>
      </w:r>
      <w:r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45345">
        <w:rPr>
          <w:rFonts w:cs="Times New Roman"/>
          <w:color w:val="auto"/>
        </w:rPr>
        <w:t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(</w:t>
      </w:r>
      <w:r w:rsidR="00423548">
        <w:rPr>
          <w:rFonts w:cs="Times New Roman"/>
          <w:color w:val="auto"/>
        </w:rPr>
        <w:t>Максимальный балл за задание - 4</w:t>
      </w:r>
      <w:r w:rsidRPr="00845345">
        <w:rPr>
          <w:rFonts w:cs="Times New Roman"/>
          <w:color w:val="auto"/>
        </w:rPr>
        <w:t>)</w:t>
      </w:r>
    </w:p>
    <w:p w:rsidR="00444DA5" w:rsidRDefault="00444DA5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Карточная </w:t>
      </w:r>
      <w:r w:rsidRPr="00444DA5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45345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444DA5">
        <w:rPr>
          <w:rFonts w:cs="Times New Roman"/>
          <w:color w:val="auto"/>
          <w:shd w:val="clear" w:color="auto" w:fill="FFFFFF"/>
        </w:rPr>
        <w:t xml:space="preserve">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1022F7" w:rsidRDefault="001022F7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>
        <w:rPr>
          <w:rFonts w:cs="Times New Roman"/>
          <w:color w:val="auto"/>
          <w:shd w:val="clear" w:color="auto" w:fill="FFFFFF"/>
        </w:rPr>
        <w:t>5</w:t>
      </w:r>
      <w:r w:rsidRPr="00845345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Ответ: </w:t>
      </w:r>
      <w:r w:rsidR="00423548">
        <w:rPr>
          <w:rFonts w:cs="Times New Roman"/>
          <w:color w:val="auto"/>
          <w:shd w:val="clear" w:color="auto" w:fill="FFFFFF"/>
        </w:rPr>
        <w:t>Игра (1</w:t>
      </w:r>
      <w:r w:rsidRPr="00845345">
        <w:rPr>
          <w:rFonts w:cs="Times New Roman"/>
          <w:color w:val="auto"/>
          <w:shd w:val="clear" w:color="auto" w:fill="FFFFFF"/>
        </w:rPr>
        <w:t xml:space="preserve"> балл)</w:t>
      </w:r>
    </w:p>
    <w:p w:rsidR="001022F7" w:rsidRDefault="001022F7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5</w:t>
      </w:r>
      <w:r w:rsidRPr="00845345">
        <w:rPr>
          <w:rFonts w:cs="Times New Roman"/>
          <w:color w:val="auto"/>
        </w:rPr>
        <w:t>.2. Высказывание какого из указанных мыслителей вам кажется наиболее важным и интересным? Раскройте его смысл (1 предложение). (до 3-х баллов)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 Прочитайте текст и выполните задания: (Всего: 5 баллов)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</w:t>
      </w:r>
      <w:r w:rsidRPr="00845345">
        <w:rPr>
          <w:rFonts w:ascii="Times New Roman" w:hAnsi="Times New Roman" w:cs="Times New Roman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</w:t>
      </w:r>
      <w:r w:rsidRPr="00845345">
        <w:rPr>
          <w:rFonts w:ascii="Times New Roman" w:hAnsi="Times New Roman" w:cs="Times New Roman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45345">
        <w:rPr>
          <w:rFonts w:ascii="Times New Roman" w:hAnsi="Times New Roman" w:cs="Times New Roman"/>
        </w:rPr>
        <w:t>Альфа-банк</w:t>
      </w:r>
      <w:proofErr w:type="spellEnd"/>
      <w:r w:rsidRPr="00845345">
        <w:rPr>
          <w:rFonts w:ascii="Times New Roman" w:hAnsi="Times New Roman" w:cs="Times New Roman"/>
        </w:rPr>
        <w:t xml:space="preserve">, Сбербанк, Тинькофф банк, </w:t>
      </w:r>
      <w:proofErr w:type="spellStart"/>
      <w:r w:rsidRPr="00845345">
        <w:rPr>
          <w:rFonts w:ascii="Times New Roman" w:hAnsi="Times New Roman" w:cs="Times New Roman"/>
        </w:rPr>
        <w:t>Хоум</w:t>
      </w:r>
      <w:proofErr w:type="spellEnd"/>
      <w:r w:rsidRPr="00845345">
        <w:rPr>
          <w:rFonts w:ascii="Times New Roman" w:hAnsi="Times New Roman" w:cs="Times New Roman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>(</w:t>
      </w:r>
      <w:r w:rsidRPr="00845345">
        <w:rPr>
          <w:rFonts w:ascii="Times New Roman" w:hAnsi="Times New Roman" w:cs="Times New Roman"/>
          <w:lang w:val="en-US"/>
        </w:rPr>
        <w:t>III</w:t>
      </w:r>
      <w:proofErr w:type="gramStart"/>
      <w:r w:rsidRPr="00845345">
        <w:rPr>
          <w:rFonts w:ascii="Times New Roman" w:hAnsi="Times New Roman" w:cs="Times New Roman"/>
        </w:rPr>
        <w:t>)Во-первых</w:t>
      </w:r>
      <w:proofErr w:type="gramEnd"/>
      <w:r w:rsidRPr="00845345">
        <w:rPr>
          <w:rFonts w:ascii="Times New Roman" w:hAnsi="Times New Roman" w:cs="Times New Roman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IV</w:t>
      </w:r>
      <w:r w:rsidRPr="00845345">
        <w:rPr>
          <w:rFonts w:ascii="Times New Roman" w:hAnsi="Times New Roman" w:cs="Times New Roman"/>
        </w:rPr>
        <w:t>)</w:t>
      </w:r>
      <w:proofErr w:type="spellStart"/>
      <w:r w:rsidRPr="00845345">
        <w:rPr>
          <w:rFonts w:ascii="Times New Roman" w:hAnsi="Times New Roman" w:cs="Times New Roman"/>
        </w:rPr>
        <w:t>Цифровизация</w:t>
      </w:r>
      <w:proofErr w:type="spellEnd"/>
      <w:r w:rsidRPr="00845345">
        <w:rPr>
          <w:rFonts w:ascii="Times New Roman" w:hAnsi="Times New Roman" w:cs="Times New Roman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45345">
        <w:rPr>
          <w:rFonts w:ascii="Times New Roman" w:hAnsi="Times New Roman" w:cs="Times New Roman"/>
        </w:rPr>
        <w:t>кибератак</w:t>
      </w:r>
      <w:proofErr w:type="spellEnd"/>
      <w:r w:rsidRPr="00845345">
        <w:rPr>
          <w:rFonts w:ascii="Times New Roman" w:hAnsi="Times New Roman" w:cs="Times New Roman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</w:t>
      </w:r>
      <w:r w:rsidRPr="00845345">
        <w:rPr>
          <w:rFonts w:ascii="Times New Roman" w:hAnsi="Times New Roman" w:cs="Times New Roman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</w:t>
      </w:r>
      <w:r w:rsidRPr="00845345">
        <w:rPr>
          <w:rFonts w:ascii="Times New Roman" w:hAnsi="Times New Roman" w:cs="Times New Roman"/>
        </w:rPr>
        <w:t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данные и каким образом могут быть использованы организациями в дальнейшем, и кто будет нести ответственность за это.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VIII</w:t>
      </w:r>
      <w:r w:rsidRPr="00845345">
        <w:rPr>
          <w:rFonts w:ascii="Times New Roman" w:hAnsi="Times New Roman" w:cs="Times New Roman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IX</w:t>
      </w:r>
      <w:r w:rsidRPr="00845345">
        <w:rPr>
          <w:rFonts w:ascii="Times New Roman" w:hAnsi="Times New Roman" w:cs="Times New Roman"/>
        </w:rPr>
        <w:t>)</w:t>
      </w:r>
      <w:proofErr w:type="gramStart"/>
      <w:r w:rsidRPr="00845345">
        <w:rPr>
          <w:rFonts w:ascii="Times New Roman" w:hAnsi="Times New Roman" w:cs="Times New Roman"/>
        </w:rPr>
        <w:t>В</w:t>
      </w:r>
      <w:proofErr w:type="gramEnd"/>
      <w:r w:rsidRPr="00845345">
        <w:rPr>
          <w:rFonts w:ascii="Times New Roman" w:hAnsi="Times New Roman" w:cs="Times New Roman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845345" w:rsidRPr="00845345" w:rsidRDefault="00845345" w:rsidP="008453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proofErr w:type="spellStart"/>
      <w:r w:rsidRPr="00845345">
        <w:rPr>
          <w:rFonts w:ascii="Times New Roman" w:hAnsi="Times New Roman" w:cs="Times New Roman"/>
        </w:rPr>
        <w:t>Цхададзе</w:t>
      </w:r>
      <w:proofErr w:type="spellEnd"/>
      <w:r w:rsidRPr="00845345">
        <w:rPr>
          <w:rFonts w:ascii="Times New Roman" w:hAnsi="Times New Roman" w:cs="Times New Roman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6.1. О какой проблеме в сфере цифровой безопасности говорится в тексте?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А. </w:t>
      </w:r>
      <w:proofErr w:type="spellStart"/>
      <w:r w:rsidRPr="00845345">
        <w:rPr>
          <w:rFonts w:ascii="Times New Roman" w:hAnsi="Times New Roman" w:cs="Times New Roman"/>
        </w:rPr>
        <w:t>Кибермошенничество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Безопасность персональных данных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В. </w:t>
      </w:r>
      <w:proofErr w:type="spellStart"/>
      <w:r w:rsidRPr="00845345">
        <w:rPr>
          <w:rFonts w:ascii="Times New Roman" w:hAnsi="Times New Roman" w:cs="Times New Roman"/>
        </w:rPr>
        <w:t>Фишинг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Координация преступности через Интернет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 xml:space="preserve">6.2. В каком из абзацев текста поднимается проблема утечки персональных данных при </w:t>
      </w:r>
      <w:proofErr w:type="spellStart"/>
      <w:r w:rsidRPr="00845345">
        <w:rPr>
          <w:rFonts w:ascii="Times New Roman" w:hAnsi="Times New Roman" w:cs="Times New Roman"/>
          <w:b/>
        </w:rPr>
        <w:t>кибератаках</w:t>
      </w:r>
      <w:proofErr w:type="spellEnd"/>
      <w:r w:rsidRPr="00845345">
        <w:rPr>
          <w:rFonts w:ascii="Times New Roman" w:hAnsi="Times New Roman" w:cs="Times New Roman"/>
          <w:b/>
        </w:rPr>
        <w:t>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 xml:space="preserve">Ответ: 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 (1 балл)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6.3. Назовите основной нормативно-правовой акт, регулирующий персональные данные в РФ: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Цифровой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Гражданский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ФЗ «О Персональных данных»;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ФЗ «О Защите Персональных данных».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6.4. Выберите суждения, соответствующие тексту: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Банки собирают персональные данные о пользователях без их ведома;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Б. За прошедшие 2 года масштабы </w:t>
      </w:r>
      <w:proofErr w:type="spellStart"/>
      <w:r w:rsidRPr="00845345">
        <w:rPr>
          <w:rFonts w:ascii="Times New Roman" w:hAnsi="Times New Roman" w:cs="Times New Roman"/>
        </w:rPr>
        <w:t>кибермошенничества</w:t>
      </w:r>
      <w:proofErr w:type="spellEnd"/>
      <w:r w:rsidRPr="00845345">
        <w:rPr>
          <w:rFonts w:ascii="Times New Roman" w:hAnsi="Times New Roman" w:cs="Times New Roman"/>
        </w:rPr>
        <w:t xml:space="preserve"> серьёзно увеличились;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За последнее время в законодательство о персональных данных были внесены серьёзные изменения;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Неконтролируемый сбор персональных данных может привести к дискриминации некоторых пользователей.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АГ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6.5. Назовите термин: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«Платежеспособность (1 балл) - качество клиента, с целью оценки которого банки собирают данные о нём» (18 букв)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7. Решите кроссворд. (Всего: 10 баллов)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По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горизонтали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>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2. специфический вид субкультуры, отрицающий ценности доминирующей (преобладающей) культуры.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4. специальное разрешение на осуществление определённого вида деятельности при обязательном соблюдении требований и условий.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lastRenderedPageBreak/>
        <w:t>5. экономическая политика государства, основанная на определяющей роли регулирования объёма наличной и безналичной денежной массы, находящейся в обращении, с целью обеспечения последовательного эволюционного роста национальной экономики.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8. социально-экономическое явление, выражающееся в том, что часть экономически активного населения, желающая работать, не может найти работу.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9. убыль населения, при которой уровень рождаемости недостаточен для компенсации даже очень низкого уровня смертности.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 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По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вертикали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>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1. круг избирателей, голосующих на выборах за какую-либо политическую партию или кандидата на выборную должность.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3. высшая, свойственная человеку форма обобщённого и целенаправленного отражения действительности; совокупность психических процессов, участвующих в осмыслении человеком объективного мира.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5. определённый этап биологической жизни человека, но её конкретные возрастные рамки, связанный с ней социальный статус и социально психологические особенности зависят от социальных условий. Так, в первобытных обществах, с их сравнительно простой и стабильной социальной структурой, человек достаточно легко усваивал социальные роли и трудовые навыки, необходимые во взрослой жизни. Низкая продолжительность жизни не давала возможности особенно затягивать «подготовительный период».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6. религиозные общины (церкви), связанные общностью верования, в связи с возникновением различных течений протестантизма (англиканство, лютеранство, </w:t>
      </w:r>
      <w:r w:rsidR="004A2D3D">
        <w:rPr>
          <w:rFonts w:ascii="Times New Roman" w:eastAsia="Times New Roman" w:hAnsi="Times New Roman" w:cs="Times New Roman"/>
        </w:rPr>
        <w:t>каль</w:t>
      </w:r>
      <w:r w:rsidRPr="00444DA5">
        <w:rPr>
          <w:rFonts w:ascii="Times New Roman" w:eastAsia="Times New Roman" w:hAnsi="Times New Roman" w:cs="Times New Roman"/>
        </w:rPr>
        <w:t xml:space="preserve">винизм, </w:t>
      </w:r>
      <w:proofErr w:type="spellStart"/>
      <w:r w:rsidRPr="00444DA5">
        <w:rPr>
          <w:rFonts w:ascii="Times New Roman" w:eastAsia="Times New Roman" w:hAnsi="Times New Roman" w:cs="Times New Roman"/>
        </w:rPr>
        <w:t>меннонитство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, методизм, баптизм, </w:t>
      </w:r>
      <w:proofErr w:type="spellStart"/>
      <w:r w:rsidRPr="00444DA5">
        <w:rPr>
          <w:rFonts w:ascii="Times New Roman" w:eastAsia="Times New Roman" w:hAnsi="Times New Roman" w:cs="Times New Roman"/>
        </w:rPr>
        <w:t>пятидесятничество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 и др.).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7. тип дешёвой прессы небольшого объёма и формата с фотографией во всю первую полосу.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2832"/>
        <w:gridCol w:w="2403"/>
      </w:tblGrid>
      <w:tr w:rsidR="00845345" w:rsidRPr="00845345" w:rsidTr="007501D1"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горизонтали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вертикали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</w:tr>
      <w:tr w:rsidR="00845345" w:rsidRPr="00845345" w:rsidTr="007501D1"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2. контркультура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4. лицензия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монетаризм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безработица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депопуляция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1. электорат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3. сознание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молодость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конфессия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таблоид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</w:tr>
    </w:tbl>
    <w:p w:rsidR="004A2D3D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4A2D3D" w:rsidRDefault="00DA534C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Всего: 45</w:t>
      </w:r>
      <w:bookmarkStart w:id="0" w:name="_GoBack"/>
      <w:bookmarkEnd w:id="0"/>
      <w:r w:rsidR="004143D4" w:rsidRPr="004A2D3D">
        <w:rPr>
          <w:rFonts w:ascii="Times New Roman" w:hAnsi="Times New Roman" w:cs="Times New Roman"/>
          <w:b/>
        </w:rPr>
        <w:t xml:space="preserve"> баллов</w:t>
      </w:r>
    </w:p>
    <w:sectPr w:rsidR="00845345" w:rsidRPr="004A2D3D" w:rsidSect="008019B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349" w:rsidRDefault="003C6349" w:rsidP="00845345">
      <w:pPr>
        <w:spacing w:after="0" w:line="240" w:lineRule="auto"/>
      </w:pPr>
      <w:r>
        <w:separator/>
      </w:r>
    </w:p>
  </w:endnote>
  <w:endnote w:type="continuationSeparator" w:id="0">
    <w:p w:rsidR="003C6349" w:rsidRDefault="003C6349" w:rsidP="0084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25263"/>
      <w:docPartObj>
        <w:docPartGallery w:val="Page Numbers (Bottom of Page)"/>
        <w:docPartUnique/>
      </w:docPartObj>
    </w:sdtPr>
    <w:sdtEndPr/>
    <w:sdtContent>
      <w:p w:rsidR="00845345" w:rsidRDefault="0084534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34C">
          <w:rPr>
            <w:noProof/>
          </w:rPr>
          <w:t>5</w:t>
        </w:r>
        <w:r>
          <w:fldChar w:fldCharType="end"/>
        </w:r>
      </w:p>
    </w:sdtContent>
  </w:sdt>
  <w:p w:rsidR="00845345" w:rsidRDefault="008453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349" w:rsidRDefault="003C6349" w:rsidP="00845345">
      <w:pPr>
        <w:spacing w:after="0" w:line="240" w:lineRule="auto"/>
      </w:pPr>
      <w:r>
        <w:separator/>
      </w:r>
    </w:p>
  </w:footnote>
  <w:footnote w:type="continuationSeparator" w:id="0">
    <w:p w:rsidR="003C6349" w:rsidRDefault="003C6349" w:rsidP="0084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94E"/>
    <w:multiLevelType w:val="hybridMultilevel"/>
    <w:tmpl w:val="D39CB6CC"/>
    <w:lvl w:ilvl="0" w:tplc="30A489D8">
      <w:start w:val="1"/>
      <w:numFmt w:val="decimal"/>
      <w:lvlText w:val="%1."/>
      <w:lvlJc w:val="left"/>
      <w:pPr>
        <w:ind w:left="720" w:hanging="360"/>
      </w:pPr>
    </w:lvl>
    <w:lvl w:ilvl="1" w:tplc="C3367526">
      <w:start w:val="1"/>
      <w:numFmt w:val="lowerLetter"/>
      <w:lvlText w:val="%2."/>
      <w:lvlJc w:val="left"/>
      <w:pPr>
        <w:ind w:left="1440" w:hanging="360"/>
      </w:pPr>
    </w:lvl>
    <w:lvl w:ilvl="2" w:tplc="A3F6A3A6">
      <w:start w:val="1"/>
      <w:numFmt w:val="lowerRoman"/>
      <w:lvlText w:val="%3."/>
      <w:lvlJc w:val="right"/>
      <w:pPr>
        <w:ind w:left="2160" w:hanging="180"/>
      </w:pPr>
    </w:lvl>
    <w:lvl w:ilvl="3" w:tplc="BB56872E">
      <w:start w:val="1"/>
      <w:numFmt w:val="decimal"/>
      <w:lvlText w:val="%4."/>
      <w:lvlJc w:val="left"/>
      <w:pPr>
        <w:ind w:left="2880" w:hanging="360"/>
      </w:pPr>
    </w:lvl>
    <w:lvl w:ilvl="4" w:tplc="580636C0">
      <w:start w:val="1"/>
      <w:numFmt w:val="lowerLetter"/>
      <w:lvlText w:val="%5."/>
      <w:lvlJc w:val="left"/>
      <w:pPr>
        <w:ind w:left="3600" w:hanging="360"/>
      </w:pPr>
    </w:lvl>
    <w:lvl w:ilvl="5" w:tplc="E5D6CA52">
      <w:start w:val="1"/>
      <w:numFmt w:val="lowerRoman"/>
      <w:lvlText w:val="%6."/>
      <w:lvlJc w:val="right"/>
      <w:pPr>
        <w:ind w:left="4320" w:hanging="180"/>
      </w:pPr>
    </w:lvl>
    <w:lvl w:ilvl="6" w:tplc="5E844316">
      <w:start w:val="1"/>
      <w:numFmt w:val="decimal"/>
      <w:lvlText w:val="%7."/>
      <w:lvlJc w:val="left"/>
      <w:pPr>
        <w:ind w:left="5040" w:hanging="360"/>
      </w:pPr>
    </w:lvl>
    <w:lvl w:ilvl="7" w:tplc="F2FA0A2A">
      <w:start w:val="1"/>
      <w:numFmt w:val="lowerLetter"/>
      <w:lvlText w:val="%8."/>
      <w:lvlJc w:val="left"/>
      <w:pPr>
        <w:ind w:left="5760" w:hanging="360"/>
      </w:pPr>
    </w:lvl>
    <w:lvl w:ilvl="8" w:tplc="270AF3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B2"/>
    <w:rsid w:val="001022F7"/>
    <w:rsid w:val="00280B30"/>
    <w:rsid w:val="00397D47"/>
    <w:rsid w:val="003C6349"/>
    <w:rsid w:val="004143D4"/>
    <w:rsid w:val="00423548"/>
    <w:rsid w:val="00444DA5"/>
    <w:rsid w:val="004A2D3D"/>
    <w:rsid w:val="006665DF"/>
    <w:rsid w:val="008019B2"/>
    <w:rsid w:val="00845345"/>
    <w:rsid w:val="00B46120"/>
    <w:rsid w:val="00DA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BAB3"/>
  <w15:chartTrackingRefBased/>
  <w15:docId w15:val="{B901B87C-FAC5-4456-A665-93F80167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B2"/>
    <w:pPr>
      <w:spacing w:line="27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9B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19B2"/>
    <w:pPr>
      <w:ind w:left="720"/>
      <w:contextualSpacing/>
    </w:pPr>
  </w:style>
  <w:style w:type="table" w:customStyle="1" w:styleId="TableNormal">
    <w:name w:val="Table Normal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845345"/>
  </w:style>
  <w:style w:type="character" w:customStyle="1" w:styleId="Hyperlink0">
    <w:name w:val="Hyperlink.0"/>
    <w:basedOn w:val="a6"/>
    <w:rsid w:val="00845345"/>
    <w:rPr>
      <w:b w:val="0"/>
      <w:bCs w:val="0"/>
    </w:rPr>
  </w:style>
  <w:style w:type="paragraph" w:styleId="a7">
    <w:name w:val="Body Text"/>
    <w:basedOn w:val="a"/>
    <w:link w:val="a8"/>
    <w:rsid w:val="00845345"/>
    <w:pPr>
      <w:spacing w:after="120" w:line="240" w:lineRule="auto"/>
    </w:pPr>
    <w:rPr>
      <w:lang w:val="en-US"/>
    </w:rPr>
  </w:style>
  <w:style w:type="character" w:customStyle="1" w:styleId="a8">
    <w:name w:val="Основной текст Знак"/>
    <w:basedOn w:val="a0"/>
    <w:link w:val="a7"/>
    <w:rsid w:val="00845345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5345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5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2025-11-27T14:58:00Z</dcterms:created>
  <dcterms:modified xsi:type="dcterms:W3CDTF">2025-11-28T07:33:00Z</dcterms:modified>
</cp:coreProperties>
</file>